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5E479" w14:textId="77777777" w:rsidR="0078610D" w:rsidRPr="0086128A" w:rsidRDefault="0078610D" w:rsidP="0078610D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86128A">
        <w:rPr>
          <w:noProof/>
        </w:rPr>
        <w:drawing>
          <wp:inline distT="0" distB="0" distL="0" distR="0" wp14:anchorId="7313E717" wp14:editId="632E060F">
            <wp:extent cx="6182995" cy="6541770"/>
            <wp:effectExtent l="0" t="0" r="8255" b="0"/>
            <wp:docPr id="1374351678" name="图片 1" descr="A close-up of a screensh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351678" name="图片 1" descr="A close-up of a screensho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995" cy="654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AD27F" w14:textId="77777777" w:rsidR="0078610D" w:rsidRPr="0086128A" w:rsidRDefault="0078610D" w:rsidP="0078610D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Figure S1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: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 Aspirin restrains age-associated ISC differentiation defect by enhancing the function of peroxisomes </w:t>
      </w:r>
    </w:p>
    <w:p w14:paraId="73BA121F" w14:textId="77777777" w:rsidR="0078610D" w:rsidRPr="0086128A" w:rsidRDefault="0078610D" w:rsidP="0078610D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A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>)</w:t>
      </w:r>
      <w:r w:rsidRPr="0086128A">
        <w:rPr>
          <w:rFonts w:ascii="Times New Roman" w:hAnsi="Times New Roman" w:cs="Times New Roman"/>
          <w:sz w:val="24"/>
          <w:szCs w:val="28"/>
        </w:rPr>
        <w:t xml:space="preserve"> </w:t>
      </w:r>
      <w:r w:rsidRPr="0086128A">
        <w:rPr>
          <w:rFonts w:ascii="Times New Roman" w:hAnsi="Times New Roman" w:cs="Times New Roman" w:hint="eastAsia"/>
          <w:sz w:val="24"/>
          <w:szCs w:val="28"/>
        </w:rPr>
        <w:t>Treatment of Drosophila with 50 µM or 500 µM aspirin failed to restrain the age-associated ISC differentiation defect</w:t>
      </w:r>
      <w:r w:rsidRPr="0086128A">
        <w:rPr>
          <w:rFonts w:ascii="Times New Roman" w:hAnsi="Times New Roman" w:cs="Times New Roman"/>
          <w:sz w:val="24"/>
          <w:szCs w:val="28"/>
        </w:rPr>
        <w:t>.</w:t>
      </w:r>
    </w:p>
    <w:p w14:paraId="4456341C" w14:textId="77777777" w:rsidR="0078610D" w:rsidRPr="0086128A" w:rsidRDefault="0078610D" w:rsidP="0078610D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B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) </w:t>
      </w:r>
      <w:r w:rsidRPr="0086128A">
        <w:rPr>
          <w:rFonts w:ascii="Times New Roman" w:hAnsi="Times New Roman" w:cs="Times New Roman"/>
          <w:sz w:val="24"/>
          <w:szCs w:val="28"/>
        </w:rPr>
        <w:t xml:space="preserve">Excretion of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Drosophila</w:t>
      </w:r>
      <w:r w:rsidRPr="0086128A">
        <w:rPr>
          <w:rFonts w:ascii="Times New Roman" w:hAnsi="Times New Roman" w:cs="Times New Roman"/>
          <w:sz w:val="24"/>
          <w:szCs w:val="28"/>
        </w:rPr>
        <w:t xml:space="preserve"> treated with Bromophenol blue.</w:t>
      </w:r>
    </w:p>
    <w:p w14:paraId="3A19F1F6" w14:textId="77777777" w:rsidR="0078610D" w:rsidRPr="0086128A" w:rsidRDefault="0078610D" w:rsidP="0078610D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C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) </w:t>
      </w:r>
      <w:r w:rsidRPr="0086128A">
        <w:rPr>
          <w:rFonts w:ascii="Times New Roman" w:hAnsi="Times New Roman" w:cs="Times New Roman"/>
          <w:sz w:val="24"/>
          <w:szCs w:val="28"/>
        </w:rPr>
        <w:t xml:space="preserve">Representative images and quantification of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 xml:space="preserve">Drosophila </w:t>
      </w:r>
      <w:r w:rsidRPr="0086128A">
        <w:rPr>
          <w:rFonts w:ascii="Times New Roman" w:hAnsi="Times New Roman" w:cs="Times New Roman"/>
          <w:sz w:val="24"/>
          <w:szCs w:val="28"/>
        </w:rPr>
        <w:t xml:space="preserve">midguts treated with the pH indicator Bromophenol blue. There are three conditions: </w:t>
      </w:r>
      <w:bookmarkStart w:id="0" w:name="_Hlk184500314"/>
      <w:r w:rsidRPr="0086128A">
        <w:rPr>
          <w:rFonts w:ascii="Times New Roman" w:hAnsi="Times New Roman" w:cs="Times New Roman"/>
          <w:sz w:val="24"/>
          <w:szCs w:val="28"/>
        </w:rPr>
        <w:t>Homeostasis</w:t>
      </w:r>
      <w:bookmarkEnd w:id="0"/>
      <w:r w:rsidRPr="0086128A">
        <w:rPr>
          <w:rFonts w:ascii="Times New Roman" w:hAnsi="Times New Roman" w:cs="Times New Roman"/>
          <w:sz w:val="24"/>
          <w:szCs w:val="28"/>
        </w:rPr>
        <w:t>, a well-defined acidic (yellow colored) in copper cell region (CCR)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, </w:t>
      </w:r>
      <w:r w:rsidRPr="0086128A">
        <w:rPr>
          <w:rFonts w:ascii="Times New Roman" w:hAnsi="Times New Roman" w:cs="Times New Roman"/>
          <w:sz w:val="24"/>
          <w:szCs w:val="28"/>
        </w:rPr>
        <w:t xml:space="preserve">and anterior midgut (AM) and posterior midgut </w:t>
      </w:r>
      <w:r w:rsidRPr="0086128A">
        <w:rPr>
          <w:rFonts w:ascii="Times New Roman" w:hAnsi="Times New Roman" w:cs="Times New Roman"/>
          <w:sz w:val="24"/>
          <w:szCs w:val="28"/>
        </w:rPr>
        <w:lastRenderedPageBreak/>
        <w:t>(PM) is basic (blue colored)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; </w:t>
      </w:r>
      <w:r w:rsidRPr="0086128A">
        <w:rPr>
          <w:rFonts w:ascii="Times New Roman" w:hAnsi="Times New Roman" w:cs="Times New Roman"/>
          <w:sz w:val="24"/>
          <w:szCs w:val="28"/>
        </w:rPr>
        <w:t>“Perturbed” the acidic region is lost and the whole gut is basic; “No eating”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, </w:t>
      </w:r>
      <w:r w:rsidRPr="0086128A">
        <w:rPr>
          <w:rFonts w:ascii="Times New Roman" w:hAnsi="Times New Roman" w:cs="Times New Roman"/>
          <w:sz w:val="24"/>
          <w:szCs w:val="28"/>
        </w:rPr>
        <w:t>no Bromophenol blue showed in the midguts.</w:t>
      </w:r>
    </w:p>
    <w:p w14:paraId="10643167" w14:textId="77777777" w:rsidR="0078610D" w:rsidRPr="0086128A" w:rsidRDefault="0078610D" w:rsidP="0078610D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D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) </w:t>
      </w:r>
      <w:bookmarkStart w:id="1" w:name="_Hlk206749562"/>
      <w:bookmarkStart w:id="2" w:name="_Hlk184500438"/>
      <w:r w:rsidRPr="0086128A">
        <w:rPr>
          <w:rFonts w:ascii="Times New Roman" w:hAnsi="Times New Roman" w:cs="Times New Roman"/>
          <w:sz w:val="24"/>
          <w:szCs w:val="28"/>
        </w:rPr>
        <w:t>Representative images of “Smurf” flies after consuming a non-absorbed food dye.</w:t>
      </w:r>
      <w:bookmarkEnd w:id="1"/>
      <w:r w:rsidRPr="0086128A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6EC7F762" w14:textId="77777777" w:rsidR="0078610D" w:rsidRPr="0086128A" w:rsidRDefault="0078610D" w:rsidP="0078610D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 xml:space="preserve">(E) </w:t>
      </w:r>
      <w:r w:rsidRPr="0086128A">
        <w:rPr>
          <w:rFonts w:ascii="Times New Roman" w:hAnsi="Times New Roman" w:cs="Times New Roman" w:hint="eastAsia"/>
          <w:sz w:val="24"/>
          <w:szCs w:val="28"/>
        </w:rPr>
        <w:t xml:space="preserve">Aspirin treatment extended the lifespan of male </w:t>
      </w:r>
      <w:r w:rsidRPr="0086128A">
        <w:rPr>
          <w:rFonts w:ascii="Times New Roman" w:hAnsi="Times New Roman" w:cs="Times New Roman"/>
          <w:i/>
          <w:iCs/>
          <w:sz w:val="24"/>
          <w:szCs w:val="28"/>
        </w:rPr>
        <w:t>Drosophila</w:t>
      </w:r>
      <w:r w:rsidRPr="0086128A">
        <w:rPr>
          <w:rFonts w:ascii="Times New Roman" w:hAnsi="Times New Roman" w:cs="Times New Roman" w:hint="eastAsia"/>
          <w:i/>
          <w:iCs/>
          <w:sz w:val="24"/>
          <w:szCs w:val="28"/>
        </w:rPr>
        <w:t>.</w:t>
      </w:r>
    </w:p>
    <w:bookmarkEnd w:id="2"/>
    <w:p w14:paraId="086A68EF" w14:textId="77777777" w:rsidR="0078610D" w:rsidRPr="0086128A" w:rsidRDefault="0078610D" w:rsidP="0078610D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86128A">
        <w:rPr>
          <w:rFonts w:ascii="Times New Roman" w:hAnsi="Times New Roman" w:cs="Times New Roman"/>
          <w:b/>
          <w:bCs/>
          <w:sz w:val="24"/>
          <w:szCs w:val="28"/>
        </w:rPr>
        <w:t>(F</w:t>
      </w:r>
      <w:r w:rsidRPr="0086128A">
        <w:rPr>
          <w:rFonts w:ascii="Times New Roman" w:hAnsi="Times New Roman" w:cs="Times New Roman" w:hint="eastAsia"/>
          <w:b/>
          <w:bCs/>
          <w:sz w:val="24"/>
          <w:szCs w:val="28"/>
        </w:rPr>
        <w:t>-G</w:t>
      </w:r>
      <w:r w:rsidRPr="0086128A">
        <w:rPr>
          <w:rFonts w:ascii="Times New Roman" w:hAnsi="Times New Roman" w:cs="Times New Roman"/>
          <w:b/>
          <w:bCs/>
          <w:sz w:val="24"/>
          <w:szCs w:val="28"/>
        </w:rPr>
        <w:t>)</w:t>
      </w:r>
      <w:r w:rsidRPr="0086128A">
        <w:rPr>
          <w:rFonts w:ascii="Times New Roman" w:hAnsi="Times New Roman" w:cs="Times New Roman"/>
          <w:sz w:val="24"/>
          <w:szCs w:val="28"/>
        </w:rPr>
        <w:t xml:space="preserve"> Varying Aspirin concentrations (2 µ</w:t>
      </w:r>
      <w:r w:rsidRPr="0086128A">
        <w:rPr>
          <w:rFonts w:ascii="Times New Roman" w:hAnsi="Times New Roman" w:cs="Times New Roman" w:hint="eastAsia"/>
          <w:sz w:val="24"/>
          <w:szCs w:val="28"/>
        </w:rPr>
        <w:t>M</w:t>
      </w:r>
      <w:r w:rsidRPr="0086128A">
        <w:rPr>
          <w:rFonts w:ascii="Times New Roman" w:hAnsi="Times New Roman" w:cs="Times New Roman"/>
          <w:sz w:val="24"/>
          <w:szCs w:val="28"/>
        </w:rPr>
        <w:t>/20 µ</w:t>
      </w:r>
      <w:r w:rsidRPr="0086128A">
        <w:rPr>
          <w:rFonts w:ascii="Times New Roman" w:hAnsi="Times New Roman" w:cs="Times New Roman" w:hint="eastAsia"/>
          <w:sz w:val="24"/>
          <w:szCs w:val="28"/>
        </w:rPr>
        <w:t>M</w:t>
      </w:r>
      <w:r w:rsidRPr="0086128A">
        <w:rPr>
          <w:rFonts w:ascii="Times New Roman" w:hAnsi="Times New Roman" w:cs="Times New Roman"/>
          <w:sz w:val="24"/>
          <w:szCs w:val="28"/>
        </w:rPr>
        <w:t>/200 µ</w:t>
      </w:r>
      <w:r w:rsidRPr="0086128A">
        <w:rPr>
          <w:rFonts w:ascii="Times New Roman" w:hAnsi="Times New Roman" w:cs="Times New Roman" w:hint="eastAsia"/>
          <w:sz w:val="24"/>
          <w:szCs w:val="28"/>
        </w:rPr>
        <w:t>M</w:t>
      </w:r>
      <w:r w:rsidRPr="0086128A">
        <w:rPr>
          <w:rFonts w:ascii="Times New Roman" w:hAnsi="Times New Roman" w:cs="Times New Roman"/>
          <w:sz w:val="24"/>
          <w:szCs w:val="28"/>
        </w:rPr>
        <w:t>/2 mM/20 mM) on mouse intestinal organoids culturing.</w:t>
      </w:r>
    </w:p>
    <w:p w14:paraId="754855E3" w14:textId="77777777" w:rsidR="0078610D" w:rsidRPr="0086128A" w:rsidRDefault="0078610D" w:rsidP="0078610D">
      <w:pPr>
        <w:pStyle w:val="Heading4"/>
        <w:spacing w:beforeLines="100" w:before="240" w:after="120" w:line="480" w:lineRule="auto"/>
        <w:contextualSpacing/>
        <w:jc w:val="both"/>
        <w:rPr>
          <w:rFonts w:eastAsia="SimSun"/>
          <w:b/>
          <w:bCs/>
        </w:rPr>
      </w:pPr>
      <w:r w:rsidRPr="0086128A">
        <w:rPr>
          <w:szCs w:val="28"/>
        </w:rPr>
        <w:t>Error bars represent SDs.</w:t>
      </w:r>
      <w:bookmarkStart w:id="3" w:name="_Hlk213005262"/>
      <w:r w:rsidRPr="0086128A">
        <w:rPr>
          <w:szCs w:val="28"/>
        </w:rPr>
        <w:t xml:space="preserve"> </w:t>
      </w:r>
      <w:r w:rsidRPr="0086128A">
        <w:rPr>
          <w:rFonts w:eastAsia="SimSun"/>
        </w:rPr>
        <w:t>Student’s t-tests</w:t>
      </w:r>
      <w:r w:rsidRPr="0086128A">
        <w:rPr>
          <w:rFonts w:eastAsia="SimSun" w:hint="eastAsia"/>
        </w:rPr>
        <w:t xml:space="preserve">, </w:t>
      </w:r>
      <w:r w:rsidRPr="0086128A">
        <w:rPr>
          <w:rFonts w:eastAsia="SimSun"/>
        </w:rPr>
        <w:t>one-way ANOVA</w:t>
      </w:r>
      <w:r w:rsidRPr="0086128A">
        <w:rPr>
          <w:rFonts w:eastAsia="SimSun" w:hint="eastAsia"/>
        </w:rPr>
        <w:t>, Kruskal-</w:t>
      </w:r>
      <w:proofErr w:type="gramStart"/>
      <w:r w:rsidRPr="0086128A">
        <w:rPr>
          <w:rFonts w:eastAsia="SimSun" w:hint="eastAsia"/>
        </w:rPr>
        <w:t>Wallis</w:t>
      </w:r>
      <w:proofErr w:type="gramEnd"/>
      <w:r w:rsidRPr="0086128A">
        <w:rPr>
          <w:rFonts w:eastAsia="SimSun" w:hint="eastAsia"/>
        </w:rPr>
        <w:t xml:space="preserve"> test and log-rank test</w:t>
      </w:r>
      <w:r w:rsidRPr="0086128A">
        <w:rPr>
          <w:rFonts w:eastAsia="SimSun"/>
        </w:rPr>
        <w:t>, *p &lt; 0.05, **p &lt; 0.01, ***p &lt; 0.001, ****p &lt; 0.0001, and NS (non-significant) represents p &gt; 0.05.</w:t>
      </w:r>
      <w:bookmarkStart w:id="4" w:name="_Hlk213004461"/>
      <w:r w:rsidRPr="0086128A">
        <w:t xml:space="preserve"> </w:t>
      </w:r>
      <w:r w:rsidRPr="0086128A">
        <w:rPr>
          <w:rFonts w:eastAsia="SimSun"/>
        </w:rPr>
        <w:t>Underlying</w:t>
      </w:r>
      <w:r w:rsidRPr="0086128A">
        <w:rPr>
          <w:rFonts w:eastAsia="SimSun" w:hint="eastAsia"/>
        </w:rPr>
        <w:t xml:space="preserve"> </w:t>
      </w:r>
      <w:r w:rsidRPr="0086128A">
        <w:rPr>
          <w:rFonts w:eastAsia="SimSun"/>
        </w:rPr>
        <w:t>data and statistical analysis in S</w:t>
      </w:r>
      <w:r w:rsidRPr="0086128A">
        <w:rPr>
          <w:rFonts w:eastAsia="SimSun" w:hint="eastAsia"/>
        </w:rPr>
        <w:t>8</w:t>
      </w:r>
      <w:r w:rsidRPr="0086128A">
        <w:rPr>
          <w:rFonts w:eastAsia="SimSun"/>
        </w:rPr>
        <w:t xml:space="preserve"> Data.</w:t>
      </w:r>
      <w:bookmarkEnd w:id="3"/>
    </w:p>
    <w:bookmarkEnd w:id="4"/>
    <w:p w14:paraId="3FC12F76" w14:textId="77777777" w:rsidR="00E87D71" w:rsidRDefault="00E87D71"/>
    <w:sectPr w:rsidR="00E87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0D"/>
    <w:rsid w:val="00474A8E"/>
    <w:rsid w:val="0078610D"/>
    <w:rsid w:val="007C621A"/>
    <w:rsid w:val="00C6430F"/>
    <w:rsid w:val="00E8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BFA44"/>
  <w15:chartTrackingRefBased/>
  <w15:docId w15:val="{A8F958C1-3262-4F2E-9A11-877390BA6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10D"/>
    <w:pPr>
      <w:widowControl w:val="0"/>
      <w:spacing w:after="0" w:line="240" w:lineRule="auto"/>
      <w:jc w:val="both"/>
    </w:pPr>
    <w:rPr>
      <w:rFonts w:eastAsiaTheme="minorEastAsia"/>
      <w:sz w:val="21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610D"/>
    <w:pPr>
      <w:keepNext/>
      <w:keepLines/>
      <w:widowControl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10D"/>
    <w:pPr>
      <w:keepNext/>
      <w:keepLines/>
      <w:widowControl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10D"/>
    <w:pPr>
      <w:keepNext/>
      <w:keepLines/>
      <w:widowControl/>
      <w:spacing w:before="160" w:after="80" w:line="259" w:lineRule="auto"/>
      <w:jc w:val="left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610D"/>
    <w:pPr>
      <w:keepNext/>
      <w:keepLines/>
      <w:widowControl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0F4761" w:themeColor="accent1" w:themeShade="BF"/>
      <w:sz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10D"/>
    <w:pPr>
      <w:keepNext/>
      <w:keepLines/>
      <w:widowControl/>
      <w:spacing w:before="80" w:after="40" w:line="259" w:lineRule="auto"/>
      <w:jc w:val="left"/>
      <w:outlineLvl w:val="4"/>
    </w:pPr>
    <w:rPr>
      <w:rFonts w:eastAsiaTheme="majorEastAsia" w:cstheme="majorBidi"/>
      <w:color w:val="0F4761" w:themeColor="accent1" w:themeShade="BF"/>
      <w:sz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10D"/>
    <w:pPr>
      <w:keepNext/>
      <w:keepLines/>
      <w:widowControl/>
      <w:spacing w:before="4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sz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10D"/>
    <w:pPr>
      <w:keepNext/>
      <w:keepLines/>
      <w:widowControl/>
      <w:spacing w:before="40" w:line="259" w:lineRule="auto"/>
      <w:jc w:val="left"/>
      <w:outlineLvl w:val="6"/>
    </w:pPr>
    <w:rPr>
      <w:rFonts w:eastAsiaTheme="majorEastAsia" w:cstheme="majorBidi"/>
      <w:color w:val="595959" w:themeColor="text1" w:themeTint="A6"/>
      <w:sz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10D"/>
    <w:pPr>
      <w:keepNext/>
      <w:keepLines/>
      <w:widowControl/>
      <w:spacing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sz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10D"/>
    <w:pPr>
      <w:keepNext/>
      <w:keepLines/>
      <w:widowControl/>
      <w:spacing w:line="259" w:lineRule="auto"/>
      <w:jc w:val="left"/>
      <w:outlineLvl w:val="8"/>
    </w:pPr>
    <w:rPr>
      <w:rFonts w:eastAsiaTheme="majorEastAsia" w:cstheme="majorBidi"/>
      <w:color w:val="272727" w:themeColor="text1" w:themeTint="D8"/>
      <w:sz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1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1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1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7861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1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1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1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1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1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10D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61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10D"/>
    <w:pPr>
      <w:widowControl/>
      <w:numPr>
        <w:ilvl w:val="1"/>
      </w:numPr>
      <w:spacing w:after="160" w:line="259" w:lineRule="auto"/>
      <w:jc w:val="left"/>
    </w:pPr>
    <w:rPr>
      <w:rFonts w:eastAsiaTheme="majorEastAsia" w:cstheme="majorBidi"/>
      <w:color w:val="595959" w:themeColor="text1" w:themeTint="A6"/>
      <w:spacing w:val="15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61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10D"/>
    <w:pPr>
      <w:widowControl/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61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10D"/>
    <w:pPr>
      <w:widowControl/>
      <w:spacing w:after="160" w:line="259" w:lineRule="auto"/>
      <w:ind w:left="720"/>
      <w:contextualSpacing/>
      <w:jc w:val="left"/>
    </w:pPr>
    <w:rPr>
      <w:rFonts w:eastAsiaTheme="minorHAnsi"/>
      <w:sz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61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10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1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1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1044</Characters>
  <Application>Microsoft Office Word</Application>
  <DocSecurity>0</DocSecurity>
  <Lines>18</Lines>
  <Paragraphs>8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Lilla Horváth</dc:creator>
  <cp:keywords/>
  <dc:description/>
  <cp:lastModifiedBy>Lilla Horváth</cp:lastModifiedBy>
  <cp:revision>2</cp:revision>
  <dcterms:created xsi:type="dcterms:W3CDTF">2025-12-03T14:11:00Z</dcterms:created>
  <dcterms:modified xsi:type="dcterms:W3CDTF">2025-12-03T14:17:00Z</dcterms:modified>
</cp:coreProperties>
</file>