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F09DBE">
      <w:pPr>
        <w:rPr>
          <w:rStyle w:val="6"/>
          <w:rFonts w:hint="default" w:ascii="Times New Roman" w:hAnsi="Times New Roman" w:eastAsia="宋体" w:cs="Times New Roman"/>
          <w:b/>
          <w:bCs/>
          <w:i w:val="0"/>
          <w:iCs w:val="0"/>
          <w:caps w:val="0"/>
          <w:color w:val="404040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ascii="Times New Roman" w:hAnsi="Times New Roman" w:eastAsia="宋体" w:cs="Times New Roman"/>
          <w:b/>
          <w:bCs/>
          <w:sz w:val="21"/>
          <w:szCs w:val="21"/>
        </w:rPr>
        <w:t>Supplement Table</w:t>
      </w:r>
      <w:r>
        <w:rPr>
          <w:rStyle w:val="6"/>
          <w:rFonts w:hint="eastAsia" w:ascii="Times New Roman" w:hAnsi="Times New Roman" w:eastAsia="宋体" w:cs="Times New Roman"/>
          <w:b/>
          <w:bCs/>
          <w:i w:val="0"/>
          <w:iCs w:val="0"/>
          <w:caps w:val="0"/>
          <w:color w:val="404040"/>
          <w:spacing w:val="0"/>
          <w:sz w:val="21"/>
          <w:szCs w:val="21"/>
          <w:shd w:val="clear" w:fill="FFFFFF"/>
          <w:lang w:val="en-US" w:eastAsia="zh-CN"/>
        </w:rPr>
        <w:t xml:space="preserve"> 1. </w:t>
      </w:r>
      <w:r>
        <w:rPr>
          <w:rStyle w:val="5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404040"/>
          <w:spacing w:val="0"/>
          <w:sz w:val="21"/>
          <w:szCs w:val="21"/>
          <w:shd w:val="clear" w:fill="FFFFFF"/>
        </w:rPr>
        <w:t>Summary of Efficacy Heterogeneity, Mechanisms, and Clinical Application Prospects of FMT in the Treatment of Osteoporosis</w:t>
      </w:r>
    </w:p>
    <w:p w14:paraId="6038350F">
      <w:pPr>
        <w:rPr>
          <w:rStyle w:val="6"/>
          <w:rFonts w:hint="default" w:ascii="Times New Roman" w:hAnsi="Times New Roman" w:eastAsia="宋体" w:cs="Times New Roman"/>
          <w:i w:val="0"/>
          <w:iCs w:val="0"/>
          <w:caps w:val="0"/>
          <w:color w:val="404040"/>
          <w:spacing w:val="0"/>
          <w:sz w:val="21"/>
          <w:szCs w:val="21"/>
          <w:shd w:val="clear" w:fill="FFFFFF"/>
          <w:lang w:val="en-US" w:eastAsia="zh-CN"/>
        </w:rPr>
      </w:pPr>
    </w:p>
    <w:tbl>
      <w:tblPr>
        <w:tblStyle w:val="3"/>
        <w:tblW w:w="14147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45" w:type="dxa"/>
          <w:left w:w="96" w:type="dxa"/>
          <w:bottom w:w="45" w:type="dxa"/>
          <w:right w:w="96" w:type="dxa"/>
        </w:tblCellMar>
      </w:tblPr>
      <w:tblGrid>
        <w:gridCol w:w="2224"/>
        <w:gridCol w:w="3342"/>
        <w:gridCol w:w="8581"/>
      </w:tblGrid>
      <w:tr w14:paraId="099371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45" w:type="dxa"/>
            <w:left w:w="96" w:type="dxa"/>
            <w:bottom w:w="45" w:type="dxa"/>
            <w:right w:w="96" w:type="dxa"/>
          </w:tblCellMar>
        </w:tblPrEx>
        <w:trPr>
          <w:trHeight w:val="0" w:hRule="atLeast"/>
          <w:tblHeader/>
          <w:jc w:val="center"/>
        </w:trPr>
        <w:tc>
          <w:tcPr>
            <w:tcW w:w="22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07D8FF5">
            <w:pPr>
              <w:keepNext w:val="0"/>
              <w:keepLines w:val="0"/>
              <w:widowControl/>
              <w:suppressLineNumbers w:val="0"/>
              <w:snapToGrid w:val="0"/>
              <w:spacing w:line="17" w:lineRule="atLeast"/>
              <w:jc w:val="center"/>
              <w:rPr>
                <w:rFonts w:hint="default" w:ascii="Times New Roman" w:hAnsi="Times New Roman" w:eastAsia="Segoe UI" w:cs="Times New Roman"/>
                <w:b/>
                <w:bCs/>
                <w:i w:val="0"/>
                <w:iCs w:val="0"/>
                <w:caps w:val="0"/>
                <w:color w:val="404040"/>
                <w:spacing w:val="0"/>
                <w:sz w:val="21"/>
                <w:szCs w:val="21"/>
              </w:rPr>
            </w:pPr>
            <w:r>
              <w:rPr>
                <w:rFonts w:hint="eastAsia" w:ascii="Times New Roman" w:hAnsi="Times New Roman" w:eastAsia="Segoe UI" w:cs="Times New Roman"/>
                <w:b/>
                <w:bCs/>
                <w:i w:val="0"/>
                <w:iCs w:val="0"/>
                <w:caps w:val="0"/>
                <w:color w:val="404040"/>
                <w:spacing w:val="0"/>
                <w:kern w:val="0"/>
                <w:sz w:val="21"/>
                <w:szCs w:val="21"/>
                <w:lang w:val="en-US" w:eastAsia="zh-CN" w:bidi="ar"/>
              </w:rPr>
              <w:t>Category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5CF2529">
            <w:pPr>
              <w:keepNext w:val="0"/>
              <w:keepLines w:val="0"/>
              <w:widowControl/>
              <w:suppressLineNumbers w:val="0"/>
              <w:snapToGrid w:val="0"/>
              <w:spacing w:line="17" w:lineRule="atLeast"/>
              <w:jc w:val="center"/>
              <w:rPr>
                <w:rFonts w:hint="default" w:ascii="Times New Roman" w:hAnsi="Times New Roman" w:eastAsia="Segoe UI" w:cs="Times New Roman"/>
                <w:b/>
                <w:bCs/>
                <w:i w:val="0"/>
                <w:iCs w:val="0"/>
                <w:caps w:val="0"/>
                <w:color w:val="404040"/>
                <w:spacing w:val="0"/>
                <w:sz w:val="21"/>
                <w:szCs w:val="21"/>
              </w:rPr>
            </w:pPr>
            <w:r>
              <w:rPr>
                <w:rFonts w:hint="eastAsia" w:ascii="Times New Roman" w:hAnsi="Times New Roman" w:eastAsia="Segoe UI" w:cs="Times New Roman"/>
                <w:b/>
                <w:bCs/>
                <w:i w:val="0"/>
                <w:iCs w:val="0"/>
                <w:caps w:val="0"/>
                <w:color w:val="404040"/>
                <w:spacing w:val="0"/>
                <w:kern w:val="0"/>
                <w:sz w:val="21"/>
                <w:szCs w:val="21"/>
                <w:lang w:val="en-US" w:eastAsia="zh-CN" w:bidi="ar"/>
              </w:rPr>
              <w:t>Factors/Aspects</w:t>
            </w:r>
          </w:p>
        </w:tc>
        <w:tc>
          <w:tcPr>
            <w:tcW w:w="85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A4E3134">
            <w:pPr>
              <w:keepNext w:val="0"/>
              <w:keepLines w:val="0"/>
              <w:widowControl/>
              <w:suppressLineNumbers w:val="0"/>
              <w:snapToGrid w:val="0"/>
              <w:spacing w:line="17" w:lineRule="atLeast"/>
              <w:jc w:val="center"/>
              <w:rPr>
                <w:rFonts w:hint="default" w:ascii="Times New Roman" w:hAnsi="Times New Roman" w:eastAsia="Segoe UI" w:cs="Times New Roman"/>
                <w:b/>
                <w:bCs/>
                <w:i w:val="0"/>
                <w:iCs w:val="0"/>
                <w:caps w:val="0"/>
                <w:color w:val="404040"/>
                <w:spacing w:val="0"/>
                <w:sz w:val="21"/>
                <w:szCs w:val="21"/>
              </w:rPr>
            </w:pPr>
            <w:r>
              <w:rPr>
                <w:rFonts w:hint="eastAsia" w:ascii="Times New Roman" w:hAnsi="Times New Roman" w:eastAsia="Segoe UI" w:cs="Times New Roman"/>
                <w:b/>
                <w:bCs/>
                <w:i w:val="0"/>
                <w:iCs w:val="0"/>
                <w:caps w:val="0"/>
                <w:color w:val="404040"/>
                <w:spacing w:val="0"/>
                <w:kern w:val="0"/>
                <w:sz w:val="21"/>
                <w:szCs w:val="21"/>
                <w:lang w:val="en-US" w:eastAsia="zh-CN" w:bidi="ar"/>
              </w:rPr>
              <w:t>Specific Description</w:t>
            </w:r>
          </w:p>
        </w:tc>
      </w:tr>
      <w:tr w14:paraId="341A96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45" w:type="dxa"/>
            <w:left w:w="96" w:type="dxa"/>
            <w:bottom w:w="45" w:type="dxa"/>
            <w:right w:w="96" w:type="dxa"/>
          </w:tblCellMar>
        </w:tblPrEx>
        <w:trPr>
          <w:trHeight w:val="0" w:hRule="atLeast"/>
          <w:jc w:val="center"/>
        </w:trPr>
        <w:tc>
          <w:tcPr>
            <w:tcW w:w="222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BA6915C">
            <w:pPr>
              <w:keepNext w:val="0"/>
              <w:keepLines w:val="0"/>
              <w:widowControl/>
              <w:suppressLineNumbers w:val="0"/>
              <w:snapToGrid w:val="0"/>
              <w:spacing w:line="17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404040"/>
                <w:spacing w:val="0"/>
                <w:sz w:val="21"/>
                <w:szCs w:val="21"/>
              </w:rPr>
            </w:pPr>
            <w:r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404040"/>
                <w:spacing w:val="0"/>
                <w:kern w:val="0"/>
                <w:sz w:val="21"/>
                <w:szCs w:val="21"/>
                <w:lang w:val="en-US" w:eastAsia="zh-CN" w:bidi="ar"/>
              </w:rPr>
              <w:t>Heterogeneity Factors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EC9BC20">
            <w:pPr>
              <w:keepNext w:val="0"/>
              <w:keepLines w:val="0"/>
              <w:widowControl/>
              <w:suppressLineNumbers w:val="0"/>
              <w:snapToGrid w:val="0"/>
              <w:spacing w:line="17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404040"/>
                <w:spacing w:val="0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404040"/>
                <w:spacing w:val="0"/>
                <w:kern w:val="0"/>
                <w:sz w:val="21"/>
                <w:szCs w:val="21"/>
                <w:lang w:val="en-US" w:eastAsia="zh-CN" w:bidi="ar"/>
              </w:rPr>
              <w:t>Donor Selection</w:t>
            </w:r>
          </w:p>
        </w:tc>
        <w:tc>
          <w:tcPr>
            <w:tcW w:w="85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6E23018">
            <w:pPr>
              <w:keepNext w:val="0"/>
              <w:keepLines w:val="0"/>
              <w:widowControl/>
              <w:suppressLineNumbers w:val="0"/>
              <w:snapToGrid w:val="0"/>
              <w:spacing w:line="17" w:lineRule="atLeast"/>
              <w:jc w:val="left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404040"/>
                <w:spacing w:val="0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spacing w:val="0"/>
                <w:sz w:val="21"/>
                <w:szCs w:val="21"/>
                <w:shd w:val="clear" w:fill="FFFFFF"/>
              </w:rPr>
              <w:t>Pathogens in donor feces may affect safety and efficacy.</w:t>
            </w:r>
          </w:p>
        </w:tc>
      </w:tr>
      <w:tr w14:paraId="0FEAA6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96" w:type="dxa"/>
            <w:bottom w:w="45" w:type="dxa"/>
            <w:right w:w="96" w:type="dxa"/>
          </w:tblCellMar>
        </w:tblPrEx>
        <w:trPr>
          <w:trHeight w:val="0" w:hRule="atLeast"/>
          <w:jc w:val="center"/>
        </w:trPr>
        <w:tc>
          <w:tcPr>
            <w:tcW w:w="222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72D9EE0">
            <w:pPr>
              <w:snapToGrid w:val="0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404040"/>
                <w:spacing w:val="0"/>
                <w:sz w:val="21"/>
                <w:szCs w:val="21"/>
              </w:rPr>
            </w:pP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8E7A016">
            <w:pPr>
              <w:keepNext w:val="0"/>
              <w:keepLines w:val="0"/>
              <w:widowControl/>
              <w:suppressLineNumbers w:val="0"/>
              <w:snapToGrid w:val="0"/>
              <w:spacing w:line="17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404040"/>
                <w:spacing w:val="0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404040"/>
                <w:spacing w:val="0"/>
                <w:kern w:val="0"/>
                <w:sz w:val="21"/>
                <w:szCs w:val="21"/>
                <w:lang w:val="en-US" w:eastAsia="zh-CN" w:bidi="ar"/>
              </w:rPr>
              <w:t>Recipient Response &amp; Host Status</w:t>
            </w:r>
          </w:p>
        </w:tc>
        <w:tc>
          <w:tcPr>
            <w:tcW w:w="85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92E4D1F">
            <w:pPr>
              <w:keepNext w:val="0"/>
              <w:keepLines w:val="0"/>
              <w:widowControl/>
              <w:suppressLineNumbers w:val="0"/>
              <w:snapToGrid w:val="0"/>
              <w:spacing w:line="17" w:lineRule="atLeast"/>
              <w:jc w:val="left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404040"/>
                <w:spacing w:val="0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spacing w:val="0"/>
                <w:sz w:val="21"/>
                <w:szCs w:val="21"/>
                <w:shd w:val="clear" w:fill="FFFFFF"/>
              </w:rPr>
              <w:t>Host gut microbiota composition/function and immune status can impact efficacy.</w:t>
            </w:r>
          </w:p>
        </w:tc>
      </w:tr>
      <w:tr w14:paraId="14E85D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96" w:type="dxa"/>
            <w:bottom w:w="45" w:type="dxa"/>
            <w:right w:w="96" w:type="dxa"/>
          </w:tblCellMar>
        </w:tblPrEx>
        <w:trPr>
          <w:trHeight w:val="0" w:hRule="atLeast"/>
          <w:jc w:val="center"/>
        </w:trPr>
        <w:tc>
          <w:tcPr>
            <w:tcW w:w="222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8570A73">
            <w:pPr>
              <w:snapToGrid w:val="0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404040"/>
                <w:spacing w:val="0"/>
                <w:sz w:val="21"/>
                <w:szCs w:val="21"/>
              </w:rPr>
            </w:pP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99FDABF">
            <w:pPr>
              <w:keepNext w:val="0"/>
              <w:keepLines w:val="0"/>
              <w:widowControl/>
              <w:suppressLineNumbers w:val="0"/>
              <w:snapToGrid w:val="0"/>
              <w:spacing w:line="17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404040"/>
                <w:spacing w:val="0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404040"/>
                <w:spacing w:val="0"/>
                <w:kern w:val="0"/>
                <w:sz w:val="21"/>
                <w:szCs w:val="21"/>
                <w:lang w:val="en-US" w:eastAsia="zh-CN" w:bidi="ar"/>
              </w:rPr>
              <w:t>Administration Protocols</w:t>
            </w:r>
          </w:p>
        </w:tc>
        <w:tc>
          <w:tcPr>
            <w:tcW w:w="85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89E1D87">
            <w:pPr>
              <w:keepNext w:val="0"/>
              <w:keepLines w:val="0"/>
              <w:widowControl/>
              <w:suppressLineNumbers w:val="0"/>
              <w:snapToGrid w:val="0"/>
              <w:spacing w:line="17" w:lineRule="atLeast"/>
              <w:jc w:val="left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404040"/>
                <w:spacing w:val="0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spacing w:val="0"/>
                <w:sz w:val="21"/>
                <w:szCs w:val="21"/>
                <w:shd w:val="clear" w:fill="FFFFFF"/>
              </w:rPr>
              <w:t>FMT delivery methods and dosage can cause efficacy differences.</w:t>
            </w:r>
          </w:p>
        </w:tc>
      </w:tr>
      <w:tr w14:paraId="0E31F8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96" w:type="dxa"/>
            <w:bottom w:w="45" w:type="dxa"/>
            <w:right w:w="96" w:type="dxa"/>
          </w:tblCellMar>
        </w:tblPrEx>
        <w:trPr>
          <w:trHeight w:val="0" w:hRule="atLeast"/>
          <w:jc w:val="center"/>
        </w:trPr>
        <w:tc>
          <w:tcPr>
            <w:tcW w:w="222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DCBD7C6">
            <w:pPr>
              <w:snapToGrid w:val="0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404040"/>
                <w:spacing w:val="0"/>
                <w:sz w:val="21"/>
                <w:szCs w:val="21"/>
              </w:rPr>
            </w:pP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D80A352">
            <w:pPr>
              <w:keepNext w:val="0"/>
              <w:keepLines w:val="0"/>
              <w:widowControl/>
              <w:suppressLineNumbers w:val="0"/>
              <w:snapToGrid w:val="0"/>
              <w:spacing w:line="17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404040"/>
                <w:spacing w:val="0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404040"/>
                <w:spacing w:val="0"/>
                <w:kern w:val="0"/>
                <w:sz w:val="21"/>
                <w:szCs w:val="21"/>
                <w:lang w:val="en-US" w:eastAsia="zh-CN" w:bidi="ar"/>
              </w:rPr>
              <w:t>Microbiota Alterations</w:t>
            </w:r>
          </w:p>
        </w:tc>
        <w:tc>
          <w:tcPr>
            <w:tcW w:w="85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619677A">
            <w:pPr>
              <w:keepNext w:val="0"/>
              <w:keepLines w:val="0"/>
              <w:widowControl/>
              <w:suppressLineNumbers w:val="0"/>
              <w:snapToGrid w:val="0"/>
              <w:spacing w:line="17" w:lineRule="atLeast"/>
              <w:jc w:val="left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404040"/>
                <w:spacing w:val="0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spacing w:val="0"/>
                <w:sz w:val="21"/>
                <w:szCs w:val="21"/>
                <w:shd w:val="clear" w:fill="FFFFFF"/>
              </w:rPr>
              <w:t>Specific bacteria may mitigate bone loss, while others may worsen conditions after FMT.</w:t>
            </w:r>
          </w:p>
        </w:tc>
      </w:tr>
      <w:tr w14:paraId="2A21F4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45" w:type="dxa"/>
            <w:left w:w="96" w:type="dxa"/>
            <w:bottom w:w="45" w:type="dxa"/>
            <w:right w:w="96" w:type="dxa"/>
          </w:tblCellMar>
        </w:tblPrEx>
        <w:trPr>
          <w:trHeight w:val="0" w:hRule="atLeast"/>
          <w:jc w:val="center"/>
        </w:trPr>
        <w:tc>
          <w:tcPr>
            <w:tcW w:w="222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01ECD1F">
            <w:pPr>
              <w:snapToGrid w:val="0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404040"/>
                <w:spacing w:val="0"/>
                <w:sz w:val="21"/>
                <w:szCs w:val="21"/>
              </w:rPr>
            </w:pP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81E370A">
            <w:pPr>
              <w:keepNext w:val="0"/>
              <w:keepLines w:val="0"/>
              <w:widowControl/>
              <w:suppressLineNumbers w:val="0"/>
              <w:snapToGrid w:val="0"/>
              <w:spacing w:line="17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404040"/>
                <w:spacing w:val="0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404040"/>
                <w:spacing w:val="0"/>
                <w:kern w:val="0"/>
                <w:sz w:val="21"/>
                <w:szCs w:val="21"/>
                <w:lang w:val="en-US" w:eastAsia="zh-CN" w:bidi="ar"/>
              </w:rPr>
              <w:t>p53 Deficiency</w:t>
            </w:r>
          </w:p>
        </w:tc>
        <w:tc>
          <w:tcPr>
            <w:tcW w:w="85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3666BE7">
            <w:pPr>
              <w:keepNext w:val="0"/>
              <w:keepLines w:val="0"/>
              <w:widowControl/>
              <w:suppressLineNumbers w:val="0"/>
              <w:snapToGrid w:val="0"/>
              <w:spacing w:line="17" w:lineRule="atLeast"/>
              <w:jc w:val="left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404040"/>
                <w:spacing w:val="0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spacing w:val="0"/>
                <w:sz w:val="21"/>
                <w:szCs w:val="21"/>
                <w:shd w:val="clear" w:fill="FFFFFF"/>
              </w:rPr>
              <w:t>p53 deficiency may disrupt lactate metabolism, impairing FMT efficacy.</w:t>
            </w:r>
          </w:p>
        </w:tc>
      </w:tr>
      <w:tr w14:paraId="0E6D55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45" w:type="dxa"/>
            <w:left w:w="96" w:type="dxa"/>
            <w:bottom w:w="45" w:type="dxa"/>
            <w:right w:w="96" w:type="dxa"/>
          </w:tblCellMar>
        </w:tblPrEx>
        <w:trPr>
          <w:trHeight w:val="0" w:hRule="atLeast"/>
          <w:jc w:val="center"/>
        </w:trPr>
        <w:tc>
          <w:tcPr>
            <w:tcW w:w="222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0E619FA">
            <w:pPr>
              <w:keepNext w:val="0"/>
              <w:keepLines w:val="0"/>
              <w:widowControl/>
              <w:suppressLineNumbers w:val="0"/>
              <w:snapToGrid w:val="0"/>
              <w:spacing w:line="17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404040"/>
                <w:spacing w:val="0"/>
                <w:sz w:val="21"/>
                <w:szCs w:val="21"/>
              </w:rPr>
            </w:pPr>
            <w:r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404040"/>
                <w:spacing w:val="0"/>
                <w:kern w:val="0"/>
                <w:sz w:val="21"/>
                <w:szCs w:val="21"/>
                <w:lang w:val="en-US" w:eastAsia="zh-CN" w:bidi="ar"/>
              </w:rPr>
              <w:t>Efficacy Evidence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0E3FC7E">
            <w:pPr>
              <w:keepNext w:val="0"/>
              <w:keepLines w:val="0"/>
              <w:widowControl/>
              <w:suppressLineNumbers w:val="0"/>
              <w:snapToGrid w:val="0"/>
              <w:spacing w:line="17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404040"/>
                <w:spacing w:val="0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404040"/>
                <w:spacing w:val="0"/>
                <w:kern w:val="0"/>
                <w:sz w:val="21"/>
                <w:szCs w:val="21"/>
                <w:lang w:val="en-US" w:eastAsia="zh-CN" w:bidi="ar"/>
              </w:rPr>
              <w:t>Diversity Restoration</w:t>
            </w:r>
          </w:p>
        </w:tc>
        <w:tc>
          <w:tcPr>
            <w:tcW w:w="85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E0523B9">
            <w:pPr>
              <w:keepNext w:val="0"/>
              <w:keepLines w:val="0"/>
              <w:widowControl/>
              <w:suppressLineNumbers w:val="0"/>
              <w:snapToGrid w:val="0"/>
              <w:spacing w:line="17" w:lineRule="atLeast"/>
              <w:jc w:val="left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404040"/>
                <w:spacing w:val="0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spacing w:val="0"/>
                <w:sz w:val="21"/>
                <w:szCs w:val="21"/>
                <w:shd w:val="clear" w:fill="FFFFFF"/>
              </w:rPr>
              <w:t xml:space="preserve">Treatment success for recurrent </w:t>
            </w:r>
            <w:r>
              <w:rPr>
                <w:rStyle w:val="6"/>
                <w:rFonts w:hint="default" w:ascii="Times New Roman" w:hAnsi="Times New Roman" w:eastAsia="Segoe UI" w:cs="Times New Roman"/>
                <w:i/>
                <w:iCs/>
                <w:caps w:val="0"/>
                <w:spacing w:val="0"/>
                <w:sz w:val="21"/>
                <w:szCs w:val="21"/>
                <w:shd w:val="clear" w:fill="FFFFFF"/>
                <w:vertAlign w:val="baseline"/>
              </w:rPr>
              <w:t>C. difficile</w:t>
            </w: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spacing w:val="0"/>
                <w:sz w:val="21"/>
                <w:szCs w:val="21"/>
                <w:shd w:val="clear" w:fill="FFFFFF"/>
              </w:rPr>
              <w:t xml:space="preserve"> infection reaches 90% in observational studies.</w:t>
            </w:r>
          </w:p>
        </w:tc>
      </w:tr>
      <w:tr w14:paraId="2A5099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96" w:type="dxa"/>
            <w:bottom w:w="45" w:type="dxa"/>
            <w:right w:w="96" w:type="dxa"/>
          </w:tblCellMar>
        </w:tblPrEx>
        <w:trPr>
          <w:trHeight w:val="0" w:hRule="atLeast"/>
          <w:jc w:val="center"/>
        </w:trPr>
        <w:tc>
          <w:tcPr>
            <w:tcW w:w="222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5B70048">
            <w:pPr>
              <w:snapToGrid w:val="0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404040"/>
                <w:spacing w:val="0"/>
                <w:sz w:val="21"/>
                <w:szCs w:val="21"/>
              </w:rPr>
            </w:pP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77D2292">
            <w:pPr>
              <w:keepNext w:val="0"/>
              <w:keepLines w:val="0"/>
              <w:widowControl/>
              <w:suppressLineNumbers w:val="0"/>
              <w:snapToGrid w:val="0"/>
              <w:spacing w:line="17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404040"/>
                <w:spacing w:val="0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404040"/>
                <w:spacing w:val="0"/>
                <w:kern w:val="0"/>
                <w:sz w:val="21"/>
                <w:szCs w:val="21"/>
                <w:lang w:val="en-US" w:eastAsia="zh-CN" w:bidi="ar"/>
              </w:rPr>
              <w:t>Preclinical - OP</w:t>
            </w:r>
          </w:p>
        </w:tc>
        <w:tc>
          <w:tcPr>
            <w:tcW w:w="85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AD718A4">
            <w:pPr>
              <w:keepNext w:val="0"/>
              <w:keepLines w:val="0"/>
              <w:widowControl/>
              <w:suppressLineNumbers w:val="0"/>
              <w:snapToGrid w:val="0"/>
              <w:spacing w:line="17" w:lineRule="atLeast"/>
              <w:jc w:val="left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404040"/>
                <w:spacing w:val="0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spacing w:val="0"/>
                <w:sz w:val="21"/>
                <w:szCs w:val="21"/>
                <w:shd w:val="clear" w:fill="FFFFFF"/>
              </w:rPr>
              <w:t>FMT improves bone density and structure in Ovx-induced OP models.</w:t>
            </w:r>
          </w:p>
        </w:tc>
      </w:tr>
      <w:tr w14:paraId="58ECC0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96" w:type="dxa"/>
            <w:bottom w:w="45" w:type="dxa"/>
            <w:right w:w="96" w:type="dxa"/>
          </w:tblCellMar>
        </w:tblPrEx>
        <w:trPr>
          <w:trHeight w:val="0" w:hRule="atLeast"/>
          <w:jc w:val="center"/>
        </w:trPr>
        <w:tc>
          <w:tcPr>
            <w:tcW w:w="222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820CD5F">
            <w:pPr>
              <w:snapToGrid w:val="0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404040"/>
                <w:spacing w:val="0"/>
                <w:sz w:val="21"/>
                <w:szCs w:val="21"/>
              </w:rPr>
            </w:pP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9F02E1E">
            <w:pPr>
              <w:keepNext w:val="0"/>
              <w:keepLines w:val="0"/>
              <w:widowControl/>
              <w:suppressLineNumbers w:val="0"/>
              <w:snapToGrid w:val="0"/>
              <w:spacing w:line="17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404040"/>
                <w:spacing w:val="0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404040"/>
                <w:spacing w:val="0"/>
                <w:kern w:val="0"/>
                <w:sz w:val="21"/>
                <w:szCs w:val="21"/>
                <w:lang w:val="en-US" w:eastAsia="zh-CN" w:bidi="ar"/>
              </w:rPr>
              <w:t>Preclinical - OA</w:t>
            </w:r>
          </w:p>
        </w:tc>
        <w:tc>
          <w:tcPr>
            <w:tcW w:w="85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DD87F1C">
            <w:pPr>
              <w:keepNext w:val="0"/>
              <w:keepLines w:val="0"/>
              <w:widowControl/>
              <w:suppressLineNumbers w:val="0"/>
              <w:snapToGrid w:val="0"/>
              <w:spacing w:line="17" w:lineRule="atLeast"/>
              <w:jc w:val="left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404040"/>
                <w:spacing w:val="0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spacing w:val="0"/>
                <w:sz w:val="21"/>
                <w:szCs w:val="21"/>
                <w:shd w:val="clear" w:fill="FFFFFF"/>
              </w:rPr>
              <w:t>FMT reduces joint inflammation in osteoarthritis models by modulating Th17/Treg balance.</w:t>
            </w:r>
          </w:p>
        </w:tc>
      </w:tr>
      <w:tr w14:paraId="572971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96" w:type="dxa"/>
            <w:bottom w:w="45" w:type="dxa"/>
            <w:right w:w="96" w:type="dxa"/>
          </w:tblCellMar>
        </w:tblPrEx>
        <w:trPr>
          <w:trHeight w:val="0" w:hRule="atLeast"/>
          <w:jc w:val="center"/>
        </w:trPr>
        <w:tc>
          <w:tcPr>
            <w:tcW w:w="222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EB84F6B">
            <w:pPr>
              <w:snapToGrid w:val="0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404040"/>
                <w:spacing w:val="0"/>
                <w:sz w:val="21"/>
                <w:szCs w:val="21"/>
              </w:rPr>
            </w:pP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84787AA">
            <w:pPr>
              <w:keepNext w:val="0"/>
              <w:keepLines w:val="0"/>
              <w:widowControl/>
              <w:suppressLineNumbers w:val="0"/>
              <w:snapToGrid w:val="0"/>
              <w:spacing w:line="17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404040"/>
                <w:spacing w:val="0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404040"/>
                <w:spacing w:val="0"/>
                <w:kern w:val="0"/>
                <w:sz w:val="21"/>
                <w:szCs w:val="21"/>
                <w:lang w:val="en-US" w:eastAsia="zh-CN" w:bidi="ar"/>
              </w:rPr>
              <w:t>Clinical Potential - IBD</w:t>
            </w:r>
          </w:p>
        </w:tc>
        <w:tc>
          <w:tcPr>
            <w:tcW w:w="85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18F8C07">
            <w:pPr>
              <w:keepNext w:val="0"/>
              <w:keepLines w:val="0"/>
              <w:widowControl/>
              <w:suppressLineNumbers w:val="0"/>
              <w:snapToGrid w:val="0"/>
              <w:spacing w:line="17" w:lineRule="atLeast"/>
              <w:jc w:val="left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404040"/>
                <w:spacing w:val="0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spacing w:val="0"/>
                <w:sz w:val="21"/>
                <w:szCs w:val="21"/>
                <w:shd w:val="clear" w:fill="FFFFFF"/>
              </w:rPr>
              <w:t>Microbiota remodeling in IBD patients suggests skeletal benefits via the GBA.</w:t>
            </w:r>
          </w:p>
        </w:tc>
      </w:tr>
      <w:tr w14:paraId="18EF66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96" w:type="dxa"/>
            <w:bottom w:w="45" w:type="dxa"/>
            <w:right w:w="96" w:type="dxa"/>
          </w:tblCellMar>
        </w:tblPrEx>
        <w:trPr>
          <w:trHeight w:val="0" w:hRule="atLeast"/>
          <w:jc w:val="center"/>
        </w:trPr>
        <w:tc>
          <w:tcPr>
            <w:tcW w:w="222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C17CE07">
            <w:pPr>
              <w:keepNext w:val="0"/>
              <w:keepLines w:val="0"/>
              <w:widowControl/>
              <w:suppressLineNumbers w:val="0"/>
              <w:snapToGrid w:val="0"/>
              <w:spacing w:line="17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404040"/>
                <w:spacing w:val="0"/>
                <w:sz w:val="21"/>
                <w:szCs w:val="21"/>
              </w:rPr>
            </w:pPr>
            <w:r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404040"/>
                <w:spacing w:val="0"/>
                <w:kern w:val="0"/>
                <w:sz w:val="21"/>
                <w:szCs w:val="21"/>
                <w:lang w:val="en-US" w:eastAsia="zh-CN" w:bidi="ar"/>
              </w:rPr>
              <w:t>Mechanisms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E99CC99">
            <w:pPr>
              <w:keepNext w:val="0"/>
              <w:keepLines w:val="0"/>
              <w:widowControl/>
              <w:suppressLineNumbers w:val="0"/>
              <w:snapToGrid w:val="0"/>
              <w:spacing w:line="17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404040"/>
                <w:spacing w:val="0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404040"/>
                <w:spacing w:val="0"/>
                <w:kern w:val="0"/>
                <w:sz w:val="21"/>
                <w:szCs w:val="21"/>
                <w:lang w:val="en-US" w:eastAsia="zh-CN" w:bidi="ar"/>
              </w:rPr>
              <w:t>Microbial Reshaping</w:t>
            </w:r>
          </w:p>
        </w:tc>
        <w:tc>
          <w:tcPr>
            <w:tcW w:w="85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7BC1BBF">
            <w:pPr>
              <w:keepNext w:val="0"/>
              <w:keepLines w:val="0"/>
              <w:widowControl/>
              <w:suppressLineNumbers w:val="0"/>
              <w:snapToGrid w:val="0"/>
              <w:spacing w:line="17" w:lineRule="atLeast"/>
              <w:jc w:val="left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404040"/>
                <w:spacing w:val="0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404040"/>
                <w:spacing w:val="0"/>
                <w:sz w:val="21"/>
                <w:szCs w:val="21"/>
              </w:rPr>
              <w:t>Remodel microbiota to enrich anti-inflammatory taxa.</w:t>
            </w:r>
          </w:p>
        </w:tc>
      </w:tr>
      <w:tr w14:paraId="1515F9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45" w:type="dxa"/>
            <w:left w:w="96" w:type="dxa"/>
            <w:bottom w:w="45" w:type="dxa"/>
            <w:right w:w="96" w:type="dxa"/>
          </w:tblCellMar>
        </w:tblPrEx>
        <w:trPr>
          <w:trHeight w:val="0" w:hRule="atLeast"/>
          <w:jc w:val="center"/>
        </w:trPr>
        <w:tc>
          <w:tcPr>
            <w:tcW w:w="222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717EB7F">
            <w:pPr>
              <w:snapToGrid w:val="0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404040"/>
                <w:spacing w:val="0"/>
                <w:sz w:val="21"/>
                <w:szCs w:val="21"/>
              </w:rPr>
            </w:pP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73062CF">
            <w:pPr>
              <w:keepNext w:val="0"/>
              <w:keepLines w:val="0"/>
              <w:widowControl/>
              <w:suppressLineNumbers w:val="0"/>
              <w:snapToGrid w:val="0"/>
              <w:spacing w:line="17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404040"/>
                <w:spacing w:val="0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404040"/>
                <w:spacing w:val="0"/>
                <w:kern w:val="0"/>
                <w:sz w:val="21"/>
                <w:szCs w:val="21"/>
                <w:lang w:val="en-US" w:eastAsia="zh-CN" w:bidi="ar"/>
              </w:rPr>
              <w:t>Metabolite Signaling</w:t>
            </w:r>
          </w:p>
        </w:tc>
        <w:tc>
          <w:tcPr>
            <w:tcW w:w="85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4ABDAA9">
            <w:pPr>
              <w:keepNext w:val="0"/>
              <w:keepLines w:val="0"/>
              <w:widowControl/>
              <w:suppressLineNumbers w:val="0"/>
              <w:snapToGrid w:val="0"/>
              <w:spacing w:line="17" w:lineRule="atLeast"/>
              <w:jc w:val="left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404040"/>
                <w:spacing w:val="0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spacing w:val="0"/>
                <w:sz w:val="21"/>
                <w:szCs w:val="21"/>
                <w:shd w:val="clear" w:fill="FFFFFF"/>
                <w:lang w:val="en-US" w:eastAsia="zh-CN"/>
              </w:rPr>
              <w:t>R</w:t>
            </w: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spacing w:val="0"/>
                <w:sz w:val="21"/>
                <w:szCs w:val="21"/>
                <w:shd w:val="clear" w:fill="FFFFFF"/>
              </w:rPr>
              <w:t>egulate osteoblast-osteoclast balance.</w:t>
            </w:r>
          </w:p>
        </w:tc>
      </w:tr>
      <w:tr w14:paraId="3388FD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96" w:type="dxa"/>
            <w:bottom w:w="45" w:type="dxa"/>
            <w:right w:w="96" w:type="dxa"/>
          </w:tblCellMar>
        </w:tblPrEx>
        <w:trPr>
          <w:trHeight w:val="0" w:hRule="atLeast"/>
          <w:jc w:val="center"/>
        </w:trPr>
        <w:tc>
          <w:tcPr>
            <w:tcW w:w="222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69EA1FE">
            <w:pPr>
              <w:snapToGrid w:val="0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404040"/>
                <w:spacing w:val="0"/>
                <w:sz w:val="21"/>
                <w:szCs w:val="21"/>
              </w:rPr>
            </w:pP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DAD247A">
            <w:pPr>
              <w:keepNext w:val="0"/>
              <w:keepLines w:val="0"/>
              <w:widowControl/>
              <w:suppressLineNumbers w:val="0"/>
              <w:snapToGrid w:val="0"/>
              <w:spacing w:line="17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404040"/>
                <w:spacing w:val="0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404040"/>
                <w:spacing w:val="0"/>
                <w:kern w:val="0"/>
                <w:sz w:val="21"/>
                <w:szCs w:val="21"/>
                <w:lang w:val="en-US" w:eastAsia="zh-CN" w:bidi="ar"/>
              </w:rPr>
              <w:t>Immune Modulation</w:t>
            </w:r>
          </w:p>
        </w:tc>
        <w:tc>
          <w:tcPr>
            <w:tcW w:w="85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479AAA2">
            <w:pPr>
              <w:keepNext w:val="0"/>
              <w:keepLines w:val="0"/>
              <w:widowControl/>
              <w:suppressLineNumbers w:val="0"/>
              <w:snapToGrid w:val="0"/>
              <w:spacing w:line="17" w:lineRule="atLeast"/>
              <w:jc w:val="left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404040"/>
                <w:spacing w:val="0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spacing w:val="0"/>
                <w:sz w:val="21"/>
                <w:szCs w:val="21"/>
                <w:shd w:val="clear" w:fill="FFFFFF"/>
              </w:rPr>
              <w:t>Target osteoclastogenic factors through systemic immune modulation.</w:t>
            </w:r>
          </w:p>
        </w:tc>
      </w:tr>
      <w:tr w14:paraId="6987F7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96" w:type="dxa"/>
            <w:bottom w:w="45" w:type="dxa"/>
            <w:right w:w="96" w:type="dxa"/>
          </w:tblCellMar>
        </w:tblPrEx>
        <w:trPr>
          <w:trHeight w:val="0" w:hRule="atLeast"/>
          <w:jc w:val="center"/>
        </w:trPr>
        <w:tc>
          <w:tcPr>
            <w:tcW w:w="222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4EDFC75">
            <w:pPr>
              <w:keepNext w:val="0"/>
              <w:keepLines w:val="0"/>
              <w:widowControl/>
              <w:suppressLineNumbers w:val="0"/>
              <w:snapToGrid w:val="0"/>
              <w:spacing w:line="17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404040"/>
                <w:spacing w:val="0"/>
                <w:sz w:val="21"/>
                <w:szCs w:val="21"/>
              </w:rPr>
            </w:pPr>
            <w:r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404040"/>
                <w:spacing w:val="0"/>
                <w:kern w:val="0"/>
                <w:sz w:val="21"/>
                <w:szCs w:val="21"/>
                <w:lang w:val="en-US" w:eastAsia="zh-CN" w:bidi="ar"/>
              </w:rPr>
              <w:t>Future Directions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C99F197">
            <w:pPr>
              <w:keepNext w:val="0"/>
              <w:keepLines w:val="0"/>
              <w:widowControl/>
              <w:suppressLineNumbers w:val="0"/>
              <w:snapToGrid w:val="0"/>
              <w:spacing w:line="17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404040"/>
                <w:spacing w:val="0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404040"/>
                <w:spacing w:val="0"/>
                <w:kern w:val="0"/>
                <w:sz w:val="21"/>
                <w:szCs w:val="21"/>
                <w:lang w:val="en-US" w:eastAsia="zh-CN" w:bidi="ar"/>
              </w:rPr>
              <w:t>Mechanistic Studies</w:t>
            </w:r>
          </w:p>
        </w:tc>
        <w:tc>
          <w:tcPr>
            <w:tcW w:w="85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83B1DD0">
            <w:pPr>
              <w:keepNext w:val="0"/>
              <w:keepLines w:val="0"/>
              <w:widowControl/>
              <w:suppressLineNumbers w:val="0"/>
              <w:snapToGrid w:val="0"/>
              <w:spacing w:line="17" w:lineRule="atLeast"/>
              <w:jc w:val="left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404040"/>
                <w:spacing w:val="0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spacing w:val="0"/>
                <w:sz w:val="21"/>
                <w:szCs w:val="21"/>
                <w:shd w:val="clear" w:fill="FFFFFF"/>
              </w:rPr>
              <w:t>Clarify microbiota-bone crosstalk pathways.</w:t>
            </w:r>
          </w:p>
        </w:tc>
      </w:tr>
      <w:tr w14:paraId="6CF380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96" w:type="dxa"/>
            <w:bottom w:w="45" w:type="dxa"/>
            <w:right w:w="96" w:type="dxa"/>
          </w:tblCellMar>
        </w:tblPrEx>
        <w:trPr>
          <w:trHeight w:val="0" w:hRule="atLeast"/>
          <w:jc w:val="center"/>
        </w:trPr>
        <w:tc>
          <w:tcPr>
            <w:tcW w:w="222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F7F6340">
            <w:pPr>
              <w:snapToGrid w:val="0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404040"/>
                <w:spacing w:val="0"/>
                <w:sz w:val="21"/>
                <w:szCs w:val="21"/>
              </w:rPr>
            </w:pP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F7BACEB">
            <w:pPr>
              <w:keepNext w:val="0"/>
              <w:keepLines w:val="0"/>
              <w:widowControl/>
              <w:suppressLineNumbers w:val="0"/>
              <w:snapToGrid w:val="0"/>
              <w:spacing w:line="17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404040"/>
                <w:spacing w:val="0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404040"/>
                <w:spacing w:val="0"/>
                <w:kern w:val="0"/>
                <w:sz w:val="21"/>
                <w:szCs w:val="21"/>
                <w:lang w:val="en-US" w:eastAsia="zh-CN" w:bidi="ar"/>
              </w:rPr>
              <w:t>Clinical Validation</w:t>
            </w:r>
          </w:p>
        </w:tc>
        <w:tc>
          <w:tcPr>
            <w:tcW w:w="85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92CDCAA">
            <w:pPr>
              <w:keepNext w:val="0"/>
              <w:keepLines w:val="0"/>
              <w:widowControl/>
              <w:suppressLineNumbers w:val="0"/>
              <w:snapToGrid w:val="0"/>
              <w:spacing w:line="17" w:lineRule="atLeast"/>
              <w:jc w:val="left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404040"/>
                <w:spacing w:val="0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spacing w:val="0"/>
                <w:sz w:val="21"/>
                <w:szCs w:val="21"/>
                <w:shd w:val="clear" w:fill="FFFFFF"/>
              </w:rPr>
              <w:t>Validate FMT efficacy in RCTs for osteoporosis/osteoarthritis.</w:t>
            </w:r>
          </w:p>
        </w:tc>
      </w:tr>
      <w:tr w14:paraId="6F4854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96" w:type="dxa"/>
            <w:bottom w:w="45" w:type="dxa"/>
            <w:right w:w="96" w:type="dxa"/>
          </w:tblCellMar>
        </w:tblPrEx>
        <w:trPr>
          <w:trHeight w:val="0" w:hRule="atLeast"/>
          <w:jc w:val="center"/>
        </w:trPr>
        <w:tc>
          <w:tcPr>
            <w:tcW w:w="222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4153E74">
            <w:pPr>
              <w:snapToGrid w:val="0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404040"/>
                <w:spacing w:val="0"/>
                <w:sz w:val="21"/>
                <w:szCs w:val="21"/>
              </w:rPr>
            </w:pP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A37EB2B">
            <w:pPr>
              <w:keepNext w:val="0"/>
              <w:keepLines w:val="0"/>
              <w:widowControl/>
              <w:suppressLineNumbers w:val="0"/>
              <w:snapToGrid w:val="0"/>
              <w:spacing w:line="17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404040"/>
                <w:spacing w:val="0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404040"/>
                <w:spacing w:val="0"/>
                <w:kern w:val="0"/>
                <w:sz w:val="21"/>
                <w:szCs w:val="21"/>
                <w:lang w:val="en-US" w:eastAsia="zh-CN" w:bidi="ar"/>
              </w:rPr>
              <w:t>Combinatorial Therapies</w:t>
            </w:r>
          </w:p>
        </w:tc>
        <w:tc>
          <w:tcPr>
            <w:tcW w:w="85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0350ECF">
            <w:pPr>
              <w:keepNext w:val="0"/>
              <w:keepLines w:val="0"/>
              <w:widowControl/>
              <w:suppressLineNumbers w:val="0"/>
              <w:snapToGrid w:val="0"/>
              <w:spacing w:line="17" w:lineRule="atLeast"/>
              <w:jc w:val="left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404040"/>
                <w:spacing w:val="0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spacing w:val="0"/>
                <w:sz w:val="21"/>
                <w:szCs w:val="21"/>
                <w:shd w:val="clear" w:fill="FFFFFF"/>
              </w:rPr>
              <w:t>Explore combination therapies.</w:t>
            </w:r>
          </w:p>
        </w:tc>
      </w:tr>
      <w:tr w14:paraId="022213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96" w:type="dxa"/>
            <w:bottom w:w="45" w:type="dxa"/>
            <w:right w:w="96" w:type="dxa"/>
          </w:tblCellMar>
        </w:tblPrEx>
        <w:trPr>
          <w:trHeight w:val="0" w:hRule="atLeast"/>
          <w:jc w:val="center"/>
        </w:trPr>
        <w:tc>
          <w:tcPr>
            <w:tcW w:w="222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524099C">
            <w:pPr>
              <w:snapToGrid w:val="0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404040"/>
                <w:spacing w:val="0"/>
                <w:sz w:val="21"/>
                <w:szCs w:val="21"/>
              </w:rPr>
            </w:pP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DB55774">
            <w:pPr>
              <w:keepNext w:val="0"/>
              <w:keepLines w:val="0"/>
              <w:widowControl/>
              <w:suppressLineNumbers w:val="0"/>
              <w:snapToGrid w:val="0"/>
              <w:spacing w:line="17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404040"/>
                <w:spacing w:val="0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404040"/>
                <w:spacing w:val="0"/>
                <w:kern w:val="0"/>
                <w:sz w:val="21"/>
                <w:szCs w:val="21"/>
                <w:lang w:val="en-US" w:eastAsia="zh-CN" w:bidi="ar"/>
              </w:rPr>
              <w:t>Preventive Applications</w:t>
            </w:r>
          </w:p>
        </w:tc>
        <w:tc>
          <w:tcPr>
            <w:tcW w:w="85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03846EB">
            <w:pPr>
              <w:keepNext w:val="0"/>
              <w:keepLines w:val="0"/>
              <w:widowControl/>
              <w:suppressLineNumbers w:val="0"/>
              <w:snapToGrid w:val="0"/>
              <w:spacing w:line="17" w:lineRule="atLeast"/>
              <w:jc w:val="left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404040"/>
                <w:spacing w:val="0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spacing w:val="0"/>
                <w:sz w:val="21"/>
                <w:szCs w:val="21"/>
                <w:shd w:val="clear" w:fill="FFFFFF"/>
              </w:rPr>
              <w:t>Investigate FMT's preventive use in high-risk populations.</w:t>
            </w:r>
          </w:p>
        </w:tc>
      </w:tr>
    </w:tbl>
    <w:p w14:paraId="381F4C28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/>
        <w:rPr>
          <w:rFonts w:hint="eastAsia" w:ascii="Times New Roman" w:hAnsi="Times New Roman" w:eastAsia="宋体" w:cs="Times New Roman"/>
          <w:b w:val="0"/>
          <w:bCs w:val="0"/>
          <w:sz w:val="21"/>
          <w:szCs w:val="21"/>
          <w:lang w:val="en-US" w:eastAsia="zh-CN"/>
        </w:rPr>
      </w:pPr>
      <w:r>
        <w:rPr>
          <w:rStyle w:val="5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404040"/>
          <w:spacing w:val="0"/>
          <w:sz w:val="21"/>
          <w:szCs w:val="21"/>
          <w:shd w:val="clear" w:fill="FFFFFF"/>
        </w:rPr>
        <w:t>Key Abbreviations:</w:t>
      </w:r>
      <w:r>
        <w:rPr>
          <w:rStyle w:val="5"/>
          <w:rFonts w:hint="eastAsia" w:ascii="Times New Roman" w:hAnsi="Times New Roman" w:eastAsia="宋体" w:cs="Times New Roman"/>
          <w:b/>
          <w:bCs/>
          <w:i w:val="0"/>
          <w:iCs w:val="0"/>
          <w:caps w:val="0"/>
          <w:color w:val="404040"/>
          <w:spacing w:val="0"/>
          <w:sz w:val="21"/>
          <w:szCs w:val="21"/>
          <w:shd w:val="clear" w:fill="FFFFFF"/>
          <w:lang w:val="en-US" w:eastAsia="zh-CN"/>
        </w:rPr>
        <w:t xml:space="preserve"> </w:t>
      </w:r>
      <w:r>
        <w:rPr>
          <w:rStyle w:val="5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1"/>
          <w:szCs w:val="21"/>
          <w:shd w:val="clear" w:fill="FFFFFF"/>
        </w:rPr>
        <w:t>FMT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1"/>
          <w:szCs w:val="21"/>
          <w:shd w:val="clear" w:fill="FFFFFF"/>
        </w:rPr>
        <w:t xml:space="preserve">: 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1"/>
          <w:szCs w:val="21"/>
          <w:shd w:val="clear" w:fill="FFFFFF"/>
        </w:rPr>
        <w:t>Fecal Microbiota Transplantation</w:t>
      </w:r>
      <w:r>
        <w:rPr>
          <w:rFonts w:hint="default" w:ascii="Times New Roman" w:hAnsi="Times New Roman" w:eastAsia="宋体" w:cs="Times New Roman"/>
          <w:b w:val="0"/>
          <w:bCs w:val="0"/>
          <w:i w:val="0"/>
          <w:iCs w:val="0"/>
          <w:caps w:val="0"/>
          <w:color w:val="0F1115"/>
          <w:spacing w:val="0"/>
          <w:sz w:val="21"/>
          <w:szCs w:val="21"/>
          <w:shd w:val="clear" w:fill="FFFFFF"/>
          <w:lang w:val="en-US" w:eastAsia="zh-CN"/>
        </w:rPr>
        <w:t xml:space="preserve">; </w:t>
      </w:r>
      <w:r>
        <w:rPr>
          <w:rStyle w:val="5"/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1"/>
          <w:szCs w:val="21"/>
          <w:shd w:val="clear" w:fill="FFFFFF"/>
        </w:rPr>
        <w:t>GBA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1"/>
          <w:szCs w:val="21"/>
          <w:shd w:val="clear" w:fill="FFFFFF"/>
        </w:rPr>
        <w:t>: Gut-Bone Axis</w:t>
      </w:r>
      <w:r>
        <w:rPr>
          <w:rFonts w:hint="default" w:ascii="Times New Roman" w:hAnsi="Times New Roman" w:eastAsia="宋体" w:cs="Times New Roman"/>
          <w:b w:val="0"/>
          <w:bCs w:val="0"/>
          <w:i w:val="0"/>
          <w:iCs w:val="0"/>
          <w:caps w:val="0"/>
          <w:color w:val="0F1115"/>
          <w:spacing w:val="0"/>
          <w:sz w:val="21"/>
          <w:szCs w:val="21"/>
          <w:shd w:val="clear" w:fill="FFFFFF"/>
          <w:lang w:val="en-US" w:eastAsia="zh-CN"/>
        </w:rPr>
        <w:t xml:space="preserve">; </w:t>
      </w:r>
      <w:r>
        <w:rPr>
          <w:rStyle w:val="5"/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1"/>
          <w:szCs w:val="21"/>
          <w:shd w:val="clear" w:fill="FFFFFF"/>
        </w:rPr>
        <w:t>IBD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1"/>
          <w:szCs w:val="21"/>
          <w:shd w:val="clear" w:fill="FFFFFF"/>
        </w:rPr>
        <w:t>: Inflammatory Bowel Disease</w:t>
      </w:r>
      <w:r>
        <w:rPr>
          <w:rFonts w:hint="default" w:ascii="Times New Roman" w:hAnsi="Times New Roman" w:eastAsia="宋体" w:cs="Times New Roman"/>
          <w:b w:val="0"/>
          <w:bCs w:val="0"/>
          <w:i w:val="0"/>
          <w:iCs w:val="0"/>
          <w:caps w:val="0"/>
          <w:color w:val="0F1115"/>
          <w:spacing w:val="0"/>
          <w:sz w:val="21"/>
          <w:szCs w:val="21"/>
          <w:shd w:val="clear" w:fill="FFFFFF"/>
          <w:lang w:val="en-US" w:eastAsia="zh-CN"/>
        </w:rPr>
        <w:t xml:space="preserve">; </w:t>
      </w:r>
      <w:r>
        <w:rPr>
          <w:rStyle w:val="5"/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1"/>
          <w:szCs w:val="21"/>
          <w:shd w:val="clear" w:fill="FFFFFF"/>
        </w:rPr>
        <w:t>OP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1"/>
          <w:szCs w:val="21"/>
          <w:shd w:val="clear" w:fill="FFFFFF"/>
        </w:rPr>
        <w:t>: Osteoporosis</w:t>
      </w:r>
      <w:r>
        <w:rPr>
          <w:rFonts w:hint="default" w:ascii="Times New Roman" w:hAnsi="Times New Roman" w:eastAsia="宋体" w:cs="Times New Roman"/>
          <w:b w:val="0"/>
          <w:bCs w:val="0"/>
          <w:i w:val="0"/>
          <w:iCs w:val="0"/>
          <w:caps w:val="0"/>
          <w:color w:val="0F1115"/>
          <w:spacing w:val="0"/>
          <w:sz w:val="21"/>
          <w:szCs w:val="21"/>
          <w:shd w:val="clear" w:fill="FFFFFF"/>
          <w:lang w:val="en-US" w:eastAsia="zh-CN"/>
        </w:rPr>
        <w:t xml:space="preserve">; </w:t>
      </w:r>
      <w:r>
        <w:rPr>
          <w:rStyle w:val="5"/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1"/>
          <w:szCs w:val="21"/>
          <w:shd w:val="clear" w:fill="FFFFFF"/>
        </w:rPr>
        <w:t>Ovx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1"/>
          <w:szCs w:val="21"/>
          <w:shd w:val="clear" w:fill="FFFFFF"/>
        </w:rPr>
        <w:t>: Ovariectomized</w:t>
      </w:r>
      <w:r>
        <w:rPr>
          <w:rFonts w:hint="default" w:ascii="Times New Roman" w:hAnsi="Times New Roman" w:eastAsia="宋体" w:cs="Times New Roman"/>
          <w:b w:val="0"/>
          <w:bCs w:val="0"/>
          <w:i w:val="0"/>
          <w:iCs w:val="0"/>
          <w:caps w:val="0"/>
          <w:color w:val="0F1115"/>
          <w:spacing w:val="0"/>
          <w:sz w:val="21"/>
          <w:szCs w:val="21"/>
          <w:shd w:val="clear" w:fill="FFFFFF"/>
          <w:lang w:val="en-US" w:eastAsia="zh-CN"/>
        </w:rPr>
        <w:t xml:space="preserve">; </w:t>
      </w:r>
      <w:r>
        <w:rPr>
          <w:rStyle w:val="5"/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1"/>
          <w:szCs w:val="21"/>
          <w:shd w:val="clear" w:fill="FFFFFF"/>
        </w:rPr>
        <w:t>RCT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1"/>
          <w:szCs w:val="21"/>
          <w:shd w:val="clear" w:fill="FFFFFF"/>
        </w:rPr>
        <w:t>: Randomized Controlled Trial</w:t>
      </w:r>
      <w:r>
        <w:rPr>
          <w:rFonts w:hint="eastAsia" w:ascii="Times New Roman" w:hAnsi="Times New Roman" w:eastAsia="宋体" w:cs="Times New Roman"/>
          <w:b w:val="0"/>
          <w:bCs w:val="0"/>
          <w:i w:val="0"/>
          <w:iCs w:val="0"/>
          <w:caps w:val="0"/>
          <w:color w:val="0F1115"/>
          <w:spacing w:val="0"/>
          <w:sz w:val="21"/>
          <w:szCs w:val="21"/>
          <w:shd w:val="clear" w:fill="FFFFFF"/>
          <w:lang w:val="en-US" w:eastAsia="zh-CN"/>
        </w:rPr>
        <w:t>.</w:t>
      </w: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210141"/>
    <w:rsid w:val="29566C3F"/>
    <w:rsid w:val="29E22920"/>
    <w:rsid w:val="29F00112"/>
    <w:rsid w:val="6CF1235B"/>
    <w:rsid w:val="748E00C8"/>
    <w:rsid w:val="74A54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rPr>
      <w:sz w:val="24"/>
    </w:r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Emphasis"/>
    <w:basedOn w:val="4"/>
    <w:qFormat/>
    <w:uiPriority w:val="0"/>
    <w:rPr>
      <w:i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221</Words>
  <Characters>1603</Characters>
  <Lines>0</Lines>
  <Paragraphs>0</Paragraphs>
  <TotalTime>16</TotalTime>
  <ScaleCrop>false</ScaleCrop>
  <LinksUpToDate>false</LinksUpToDate>
  <CharactersWithSpaces>1783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2025-09-11T03:15:00Z</dcterms:created>
  <dc:creator>18078</dc:creator>
  <cp:lastModifiedBy>江晚</cp:lastModifiedBy>
  <dcterms:modified xsi:type="dcterms:W3CDTF">2025-09-23T12:03:08Z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KSOTemplateDocerSaveRecord">
    <vt:lpwstr>eyJoZGlkIjoiOWFhYTZiMDJmMDEwMTdhNjdkMDZmMmIwOTgwZmQ0YTkiLCJ1c2VySWQiOiIxMDU2ODAzNDY2In0=</vt:lpwstr>
  </property>
  <property fmtid="{D5CDD505-2E9C-101B-9397-08002B2CF9AE}" pid="4" name="ICV">
    <vt:lpwstr>D36F97B4BB0042E3AC7992EA0C31898A_13</vt:lpwstr>
  </property>
</Properties>
</file>